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Making the best moves, pulling the silliest of faces, and having mastered the stupidest talent of all, Guy First’s “State of the Fart” brings new wind to eyes, ears and noses all around the world.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Since childhood, Guy First practiced hand farting (also professionally known as Mannualism)  in every dull moment of every day. He became known when he started meeting bands he loved just to play their tunes in front of them. Bands and artists like Gojira, Behemoth, Devin Townsend, Septicflesh and more. Being featured on big magazines like Metal Hammer and Kerrang, First began uploading absurd fart covers to popular hits.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After making it to the “Britain’s Got Talent” Semi Finals as Simon Cowell’s favourite act to date,  and also reaching millions of views across the web, First plans to spread unproportional laughter and scents even farther, and keep the smell real.</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